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1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270</w:t>
      </w:r>
      <w:r>
        <w:rPr>
          <w:rFonts w:ascii="Times New Roman" w:eastAsia="Times New Roman" w:hAnsi="Times New Roman" w:cs="Times New Roman"/>
        </w:rPr>
        <w:t>-2806/202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left="284" w:hanging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10"/>
        <w:jc w:val="both"/>
        <w:rPr>
          <w:sz w:val="26"/>
          <w:szCs w:val="26"/>
        </w:rPr>
      </w:pP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(628011,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военный билет АЕ №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>го,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10"/>
        <w:jc w:val="center"/>
        <w:rPr>
          <w:sz w:val="26"/>
          <w:szCs w:val="26"/>
        </w:rPr>
      </w:pP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наркотическое средство без назначения врача.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частности, </w:t>
      </w:r>
      <w:r>
        <w:rPr>
          <w:rFonts w:ascii="Times New Roman" w:eastAsia="Times New Roman" w:hAnsi="Times New Roman" w:cs="Times New Roman"/>
          <w:sz w:val="26"/>
          <w:szCs w:val="26"/>
        </w:rPr>
        <w:t>07.12.2024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потребил наркотическое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альфа – </w:t>
      </w:r>
      <w:r>
        <w:rPr>
          <w:rFonts w:ascii="Times New Roman" w:eastAsia="Times New Roman" w:hAnsi="Times New Roman" w:cs="Times New Roman"/>
          <w:sz w:val="26"/>
          <w:szCs w:val="26"/>
        </w:rPr>
        <w:t>PVP</w:t>
      </w:r>
      <w:r>
        <w:rPr>
          <w:rFonts w:ascii="Times New Roman" w:eastAsia="Times New Roman" w:hAnsi="Times New Roman" w:cs="Times New Roman"/>
          <w:sz w:val="26"/>
          <w:szCs w:val="26"/>
        </w:rPr>
        <w:t>», метаболит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назначения врача. </w:t>
      </w:r>
    </w:p>
    <w:p>
      <w:pPr>
        <w:spacing w:before="0" w:after="0"/>
        <w:ind w:firstLine="99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Иврин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 не присутствовал; о месте, дате и времени рассмотрения дела извещен надлежащим образом, судебной повесткой. О причинах неявки не сообщил, об отложении рассмотрения дела не просил.</w:t>
      </w:r>
    </w:p>
    <w:p>
      <w:pPr>
        <w:spacing w:before="0" w:after="0"/>
        <w:ind w:firstLine="99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 протокол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6.9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то есть потребление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6.9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административным правонарушением является потребление наркотических средств без назначения врача,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 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 Федерального закона от 08.01.1998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предусмотрено абз.2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Федерального закона от 08.01.1998 № 3-ФЗ «О наркотических средствах и психотропных веществах» наркотическими средствами являются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перечню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утверждённому </w:t>
      </w:r>
      <w:r>
        <w:rPr>
          <w:rFonts w:ascii="Times New Roman" w:eastAsia="Times New Roman" w:hAnsi="Times New Roman" w:cs="Times New Roman"/>
          <w:sz w:val="26"/>
          <w:szCs w:val="26"/>
        </w:rPr>
        <w:t>поста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новлением Правительства РФ от 30.06.1998 № 681, </w:t>
      </w:r>
      <w:r>
        <w:rPr>
          <w:rFonts w:ascii="Times New Roman" w:eastAsia="Times New Roman" w:hAnsi="Times New Roman" w:cs="Times New Roman"/>
          <w:sz w:val="26"/>
          <w:szCs w:val="26"/>
        </w:rPr>
        <w:t>а-</w:t>
      </w:r>
      <w:r>
        <w:rPr>
          <w:rFonts w:ascii="Times New Roman" w:eastAsia="Times New Roman" w:hAnsi="Times New Roman" w:cs="Times New Roman"/>
          <w:sz w:val="26"/>
          <w:szCs w:val="26"/>
        </w:rPr>
        <w:t>пирролидинопентиофенон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(все изомеры) и их производные </w:t>
      </w:r>
      <w:r>
        <w:rPr>
          <w:rFonts w:ascii="Times New Roman" w:eastAsia="Times New Roman" w:hAnsi="Times New Roman" w:cs="Times New Roman"/>
          <w:sz w:val="26"/>
          <w:szCs w:val="26"/>
        </w:rPr>
        <w:t>отнес</w:t>
      </w:r>
      <w:r>
        <w:rPr>
          <w:rFonts w:ascii="Times New Roman" w:eastAsia="Times New Roman" w:hAnsi="Times New Roman" w:cs="Times New Roman"/>
          <w:sz w:val="26"/>
          <w:szCs w:val="26"/>
        </w:rPr>
        <w:t>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наркотическим средствам (список I).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385321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</w:t>
      </w:r>
      <w:r>
        <w:rPr>
          <w:rFonts w:ascii="Times New Roman" w:eastAsia="Times New Roman" w:hAnsi="Times New Roman" w:cs="Times New Roman"/>
          <w:sz w:val="26"/>
          <w:szCs w:val="26"/>
        </w:rPr>
        <w:t>Иврин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факт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ОКОН МО МВД России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результатах ХТИ БУ ХМАО-Югры «Ханты-Мансийская клиническая психоневрологическая больница»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(алкогольного,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6"/>
          <w:szCs w:val="26"/>
        </w:rPr>
        <w:t>09.12.2024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642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содержащим результат исследования биологического объекта (моча), заключение врача об установлении у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состояния опьянения, вызванного наркотическим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альфа – PVP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а-</w:t>
      </w:r>
      <w:r>
        <w:rPr>
          <w:rFonts w:ascii="Times New Roman" w:eastAsia="Times New Roman" w:hAnsi="Times New Roman" w:cs="Times New Roman"/>
          <w:sz w:val="26"/>
          <w:szCs w:val="26"/>
        </w:rPr>
        <w:t>пирролидинопентиофенон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метаболит;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справки на привлекаемое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Приведенные доказательства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дела. В своей совокупности они подтверждают факт потребления </w:t>
      </w:r>
      <w:r>
        <w:rPr>
          <w:rFonts w:ascii="Times New Roman" w:eastAsia="Times New Roman" w:hAnsi="Times New Roman" w:cs="Times New Roman"/>
          <w:sz w:val="26"/>
          <w:szCs w:val="26"/>
        </w:rPr>
        <w:t>Ивриным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наркотического средства без назначения врача.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квалифицируются как административное правонарушение, предусмотренное ч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6.9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– потребление наркотических средств без назначения врача,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 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Иврин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добровольно обра</w:t>
      </w:r>
      <w:r>
        <w:rPr>
          <w:rFonts w:ascii="Times New Roman" w:eastAsia="Times New Roman" w:hAnsi="Times New Roman" w:cs="Times New Roman"/>
          <w:sz w:val="26"/>
          <w:szCs w:val="26"/>
        </w:rPr>
        <w:t>тил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при рассмотрении дела не установлены.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этой связи основания для освобождения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административной ответственности за данное правонарушение отсутствуют.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 мировой судья учитывает характер совершенного административного правонарушения, объектом которого является здоровье и общественная нравственность (нематериальные блага граждан), фактические обстоятельс</w:t>
      </w:r>
      <w:r>
        <w:rPr>
          <w:rFonts w:ascii="Times New Roman" w:eastAsia="Times New Roman" w:hAnsi="Times New Roman" w:cs="Times New Roman"/>
          <w:sz w:val="26"/>
          <w:szCs w:val="26"/>
        </w:rPr>
        <w:t>тва содеянного, личность виновного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и семейное положение.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наказания в пределах санкции ч.1 ст.6.9 КоАП РФ, в соответствии с требованиями ст.ст.3.1, 3.5 и 4.1 КоАП РФ, в виде административного штрафа.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 целесо</w:t>
      </w:r>
      <w:r>
        <w:rPr>
          <w:rFonts w:ascii="Times New Roman" w:eastAsia="Times New Roman" w:hAnsi="Times New Roman" w:cs="Times New Roman"/>
          <w:sz w:val="26"/>
          <w:szCs w:val="26"/>
        </w:rPr>
        <w:t>образным применить положения ч.2.1 ст.</w:t>
      </w:r>
      <w:r>
        <w:rPr>
          <w:rFonts w:ascii="Times New Roman" w:eastAsia="Times New Roman" w:hAnsi="Times New Roman" w:cs="Times New Roman"/>
          <w:sz w:val="26"/>
          <w:szCs w:val="26"/>
        </w:rPr>
        <w:t>4.1. КоАП РФ.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ст.ст.23.1, 29.9 - 29.11 КоАП РФ, мировой судья </w:t>
      </w:r>
    </w:p>
    <w:p>
      <w:pPr>
        <w:spacing w:before="0" w:after="0"/>
        <w:ind w:firstLine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10"/>
        <w:jc w:val="both"/>
        <w:rPr>
          <w:sz w:val="26"/>
          <w:szCs w:val="26"/>
        </w:rPr>
      </w:pP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Style w:val="cat-Sumgrp-26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>Иврина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пройти диагностику в БУ ХМАО – Югры «Ханты-Мансийская клиническая психоневрологическая больница» в срок не позднее 1 (одного) месяца со дня вступления настоящего постановления в законную силу.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РФ от 28 мая 2014 г.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врача», копию настоящего постановления направить Главному врачу БУ ХМАО – Югры «Ханты-Мансийская клиническая психоневрологическая больница», а также для контроля исполнения должностному лицу органов по контролю за оборотом наркотических средств и психотропных веществ, составивших протокол об административном правонарушении.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лицом обязанности пройти диагностику в БУ ХМАО – Югры «Ханты-Мансийская клиническая психоневрологическая больница» возлагается на МО МВД России «Ханты-Мансийский».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уклонение (неявка в установленный срок к врачу, неисполнение его рекомендаций)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>, влечет ответственность по ст.</w:t>
      </w:r>
      <w:r>
        <w:rPr>
          <w:rFonts w:ascii="Times New Roman" w:eastAsia="Times New Roman" w:hAnsi="Times New Roman" w:cs="Times New Roman"/>
          <w:sz w:val="26"/>
          <w:szCs w:val="26"/>
        </w:rPr>
        <w:t>6.9.1 Кодекса РФ об административных правонарушениях.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0412365400805002702506124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привлекаемому лицу, что 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31.5 КоАП РФ.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10"/>
        <w:jc w:val="both"/>
        <w:rPr>
          <w:sz w:val="26"/>
          <w:szCs w:val="26"/>
        </w:rPr>
      </w:pPr>
    </w:p>
    <w:p>
      <w:pPr>
        <w:spacing w:before="0" w:after="0"/>
        <w:ind w:firstLine="71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О.П. </w:t>
      </w:r>
      <w:r>
        <w:rPr>
          <w:rFonts w:ascii="Times New Roman" w:eastAsia="Times New Roman" w:hAnsi="Times New Roman" w:cs="Times New Roman"/>
          <w:sz w:val="26"/>
          <w:szCs w:val="26"/>
        </w:rPr>
        <w:t>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6">
    <w:name w:val="cat-UserDefined grp-36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Sumgrp-26rplc-45">
    <w:name w:val="cat-Sum grp-2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